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C7" w:rsidRPr="005C1D17" w:rsidRDefault="008308E6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/>
          <w:bCs/>
          <w:sz w:val="20"/>
          <w:lang w:val="en-US"/>
        </w:rPr>
        <w:tab/>
      </w:r>
      <w:r w:rsidR="002F18C7" w:rsidRPr="005C1D17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5C1D17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5C1D17">
        <w:rPr>
          <w:rFonts w:ascii="GHEA Grapalat" w:hAnsi="GHEA Grapalat"/>
          <w:bCs/>
          <w:sz w:val="20"/>
          <w:lang w:val="en-US"/>
        </w:rPr>
        <w:t xml:space="preserve"> </w:t>
      </w:r>
      <w:r w:rsidR="000A6B51" w:rsidRPr="005C1D17">
        <w:rPr>
          <w:rFonts w:ascii="GHEA Grapalat" w:hAnsi="GHEA Grapalat"/>
          <w:bCs/>
          <w:sz w:val="20"/>
          <w:lang w:val="hy-AM"/>
        </w:rPr>
        <w:t>3</w:t>
      </w:r>
      <w:r w:rsidR="00C50E42">
        <w:rPr>
          <w:rFonts w:ascii="GHEA Grapalat" w:hAnsi="GHEA Grapalat"/>
          <w:bCs/>
          <w:sz w:val="20"/>
          <w:lang w:val="hy-AM"/>
        </w:rPr>
        <w:t>4</w:t>
      </w:r>
    </w:p>
    <w:p w:rsidR="002F18C7" w:rsidRPr="005C1D17" w:rsidRDefault="002F18C7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 w:cs="Sylfaen"/>
          <w:bCs/>
          <w:sz w:val="20"/>
          <w:lang w:val="hy-AM"/>
        </w:rPr>
        <w:t>Երևանի</w:t>
      </w:r>
      <w:r w:rsidRPr="005C1D17">
        <w:rPr>
          <w:rFonts w:ascii="GHEA Grapalat" w:hAnsi="GHEA Grapalat"/>
          <w:bCs/>
          <w:sz w:val="20"/>
          <w:lang w:val="hy-AM"/>
        </w:rPr>
        <w:t xml:space="preserve"> </w:t>
      </w:r>
      <w:r w:rsidRPr="005C1D17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5C1D17" w:rsidRDefault="005B6644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/>
          <w:bCs/>
          <w:sz w:val="20"/>
          <w:lang w:val="hy-AM"/>
        </w:rPr>
        <w:t>20</w:t>
      </w:r>
      <w:r w:rsidR="00C50E42">
        <w:rPr>
          <w:rFonts w:ascii="GHEA Grapalat" w:hAnsi="GHEA Grapalat"/>
          <w:bCs/>
          <w:sz w:val="20"/>
          <w:lang w:val="hy-AM"/>
        </w:rPr>
        <w:t>17</w:t>
      </w:r>
      <w:r w:rsidR="00171368" w:rsidRPr="005C1D17">
        <w:rPr>
          <w:rFonts w:ascii="GHEA Grapalat" w:hAnsi="GHEA Grapalat"/>
          <w:bCs/>
          <w:sz w:val="20"/>
          <w:lang w:val="hy-AM"/>
        </w:rPr>
        <w:t xml:space="preserve"> </w:t>
      </w:r>
      <w:r w:rsidR="00171368" w:rsidRPr="005C1D17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Pr="005C1D17">
        <w:rPr>
          <w:rFonts w:ascii="GHEA Grapalat" w:hAnsi="GHEA Grapalat" w:cs="Sylfaen"/>
          <w:bCs/>
          <w:sz w:val="20"/>
          <w:lang w:val="hy-AM"/>
        </w:rPr>
        <w:t xml:space="preserve">հուլիսի </w:t>
      </w:r>
      <w:r w:rsidR="00C50E42">
        <w:rPr>
          <w:rFonts w:ascii="GHEA Grapalat" w:hAnsi="GHEA Grapalat" w:cs="Sylfaen"/>
          <w:bCs/>
          <w:sz w:val="20"/>
          <w:lang w:val="hy-AM"/>
        </w:rPr>
        <w:t>11</w:t>
      </w:r>
      <w:bookmarkStart w:id="0" w:name="_GoBack"/>
      <w:bookmarkEnd w:id="0"/>
      <w:r w:rsidR="00171368" w:rsidRPr="005C1D17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5C1D17" w:rsidRDefault="00171368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/>
          <w:bCs/>
          <w:sz w:val="20"/>
          <w:lang w:val="hy-AM"/>
        </w:rPr>
        <w:t xml:space="preserve"> N </w:t>
      </w:r>
      <w:r w:rsidR="00C50E42">
        <w:rPr>
          <w:rFonts w:ascii="GHEA Grapalat" w:hAnsi="GHEA Grapalat"/>
          <w:bCs/>
          <w:sz w:val="20"/>
          <w:lang w:val="hy-AM"/>
        </w:rPr>
        <w:t>2359</w:t>
      </w:r>
      <w:r w:rsidRPr="005C1D17">
        <w:rPr>
          <w:rFonts w:ascii="GHEA Grapalat" w:hAnsi="GHEA Grapalat"/>
          <w:bCs/>
          <w:sz w:val="20"/>
          <w:lang w:val="hy-AM"/>
        </w:rPr>
        <w:t>-</w:t>
      </w:r>
      <w:r w:rsidRPr="005C1D17">
        <w:rPr>
          <w:rFonts w:ascii="GHEA Grapalat" w:hAnsi="GHEA Grapalat" w:cs="Sylfaen"/>
          <w:bCs/>
          <w:sz w:val="20"/>
          <w:lang w:val="hy-AM"/>
        </w:rPr>
        <w:t>Ա</w:t>
      </w:r>
      <w:r w:rsidRPr="005C1D17">
        <w:rPr>
          <w:rFonts w:ascii="GHEA Grapalat" w:hAnsi="GHEA Grapalat"/>
          <w:bCs/>
          <w:sz w:val="20"/>
          <w:lang w:val="hy-AM"/>
        </w:rPr>
        <w:t xml:space="preserve"> </w:t>
      </w:r>
      <w:r w:rsidRPr="005C1D17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D94CB6" w:rsidRDefault="00C037C0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94CB6" w:rsidTr="008132C2">
        <w:tc>
          <w:tcPr>
            <w:tcW w:w="10690" w:type="dxa"/>
            <w:shd w:val="clear" w:color="auto" w:fill="auto"/>
          </w:tcPr>
          <w:p w:rsidR="00741E95" w:rsidRPr="00D94CB6" w:rsidRDefault="00741E95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94CB6" w:rsidRDefault="00674DA0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r w:rsidR="00D16AE2" w:rsidRPr="00D94CB6">
              <w:rPr>
                <w:rFonts w:ascii="GHEA Grapalat" w:hAnsi="GHEA Grapalat"/>
                <w:sz w:val="22"/>
                <w:szCs w:val="22"/>
                <w:lang w:val="hy-AM"/>
              </w:rPr>
              <w:t>երրորդ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</w:t>
            </w:r>
            <w:r w:rsidR="00DB77F4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367C1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426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94CB6" w:rsidRDefault="00257548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94CB6" w:rsidRDefault="002C3B6F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94CB6" w:rsidRDefault="00A71FDF" w:rsidP="00D94CB6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</w:tc>
      </w:tr>
      <w:tr w:rsidR="0032255B" w:rsidRPr="00D94CB6" w:rsidTr="008132C2">
        <w:tc>
          <w:tcPr>
            <w:tcW w:w="10690" w:type="dxa"/>
            <w:shd w:val="clear" w:color="auto" w:fill="auto"/>
          </w:tcPr>
          <w:p w:rsidR="0032255B" w:rsidRPr="00D94CB6" w:rsidRDefault="0032255B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94CB6" w:rsidRDefault="00C5374B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CF3932" w:rsidRPr="00D94CB6" w:rsidTr="008132C2">
        <w:tc>
          <w:tcPr>
            <w:tcW w:w="10690" w:type="dxa"/>
            <w:shd w:val="clear" w:color="auto" w:fill="auto"/>
          </w:tcPr>
          <w:p w:rsidR="00CF3932" w:rsidRPr="00D94CB6" w:rsidRDefault="00CF3932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94CB6" w:rsidRDefault="00BF6F78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94CB6" w:rsidRDefault="00DB77F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94CB6" w:rsidTr="008132C2">
        <w:tc>
          <w:tcPr>
            <w:tcW w:w="10690" w:type="dxa"/>
            <w:shd w:val="clear" w:color="auto" w:fill="auto"/>
          </w:tcPr>
          <w:p w:rsidR="00291F1D" w:rsidRPr="00D94CB6" w:rsidRDefault="00291F1D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94CB6" w:rsidRDefault="00674DA0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r w:rsidR="002C3B6F" w:rsidRPr="00D94CB6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94CB6" w:rsidRDefault="00DD6CD7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94CB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94CB6" w:rsidRDefault="0020188D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94CB6" w:rsidRDefault="002C3B6F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94CB6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94CB6" w:rsidTr="008132C2">
        <w:tc>
          <w:tcPr>
            <w:tcW w:w="10690" w:type="dxa"/>
            <w:shd w:val="clear" w:color="auto" w:fill="auto"/>
          </w:tcPr>
          <w:p w:rsidR="00902E28" w:rsidRPr="00D94CB6" w:rsidRDefault="00902E28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4CB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94CB6" w:rsidRDefault="00C5374B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94CB6" w:rsidRDefault="00CC1C7B" w:rsidP="00D94CB6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94CB6" w:rsidRDefault="00DD6CD7" w:rsidP="00D94CB6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94CB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3D2" w:rsidRDefault="004F43D2" w:rsidP="000B1FF2">
      <w:r>
        <w:separator/>
      </w:r>
    </w:p>
  </w:endnote>
  <w:endnote w:type="continuationSeparator" w:id="0">
    <w:p w:rsidR="004F43D2" w:rsidRDefault="004F43D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3D2" w:rsidRDefault="004F43D2" w:rsidP="000B1FF2">
      <w:r>
        <w:separator/>
      </w:r>
    </w:p>
  </w:footnote>
  <w:footnote w:type="continuationSeparator" w:id="0">
    <w:p w:rsidR="004F43D2" w:rsidRDefault="004F43D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A6B51"/>
    <w:rsid w:val="000B1FF2"/>
    <w:rsid w:val="000D1AB7"/>
    <w:rsid w:val="000D22E8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822F3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67C1D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43D2"/>
    <w:rsid w:val="004F59FF"/>
    <w:rsid w:val="004F687C"/>
    <w:rsid w:val="0050075D"/>
    <w:rsid w:val="005165B2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1D17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0E42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94CB6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12DF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Lusine Zaqaryan</cp:lastModifiedBy>
  <cp:revision>16</cp:revision>
  <cp:lastPrinted>2022-05-29T16:39:00Z</cp:lastPrinted>
  <dcterms:created xsi:type="dcterms:W3CDTF">2024-02-23T16:11:00Z</dcterms:created>
  <dcterms:modified xsi:type="dcterms:W3CDTF">2024-02-23T17:12:00Z</dcterms:modified>
</cp:coreProperties>
</file>